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1C" w:rsidRPr="00E7191C" w:rsidRDefault="00E7191C" w:rsidP="00E7191C">
      <w:pPr>
        <w:rPr>
          <w:rFonts w:ascii="Times New Roman" w:hAnsi="Times New Roman" w:cs="Times New Roman"/>
          <w:sz w:val="32"/>
        </w:rPr>
      </w:pPr>
      <w:r w:rsidRPr="00E7191C">
        <w:rPr>
          <w:rFonts w:ascii="Times New Roman" w:hAnsi="Times New Roman" w:cs="Times New Roman"/>
          <w:sz w:val="32"/>
          <w:highlight w:val="yellow"/>
        </w:rPr>
        <w:t>Сведения об условиях питания и охраны здоровья обучающихся</w:t>
      </w:r>
    </w:p>
    <w:p w:rsidR="00E7191C" w:rsidRPr="00E7191C" w:rsidRDefault="00E7191C" w:rsidP="00E7191C">
      <w:pPr>
        <w:rPr>
          <w:rFonts w:ascii="Times New Roman" w:hAnsi="Times New Roman" w:cs="Times New Roman"/>
          <w:sz w:val="28"/>
          <w:szCs w:val="27"/>
        </w:rPr>
      </w:pPr>
      <w:r w:rsidRPr="00E7191C">
        <w:rPr>
          <w:rStyle w:val="a4"/>
          <w:rFonts w:ascii="Times New Roman" w:hAnsi="Times New Roman" w:cs="Times New Roman"/>
          <w:b w:val="0"/>
          <w:bCs w:val="0"/>
          <w:color w:val="339966"/>
          <w:sz w:val="24"/>
        </w:rPr>
        <w:t>Об условиях питания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В детском саду для воспитанников организовано горячее питание,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п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>риготовление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блюд осу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ществляют повара  на пищеблоке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детского сада. Продукты питания доставляет поставщик специализированным транспортом, его принимает повар, который определяет качество поставляемых продуктов, соответствие их сертификатам,  количеству накладной документации. Продукты питания хранятся в складских помещениях ДОУ, холодильном оборудовании. Каждый продукт хранится в соответствующих отсеках при определенной температуре: молочные продукты никогда не хранятся с мясными продуктами, готовые продукты никогда не хранятся с сырыми продуктами.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Приготовление блюд осуществляется на пищеблоке ДОУ.  Пищеблок оборудован всем необходимым технологическим оборудованием, все оборудование исправно, находится в рабочем состоянии. Питание воспитанников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Примерное цикличное 10-дневное меню разработано для детей в возрасте от 1,5  до 3  лет  и  от  3-7 лет с целью обеспечения их физиологических и возрастных потребностей в пищевых веществах и энергии. В ежедневный рацион питания включены фрукты и овощи. В примерном меню не допускается повторение одних и тех же блюд в один и тот же день, либо в  смежные дни.  На каждое блюдо разработана технологическая карта, в соответствии с которой блюдо приготавливается.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В детском саду о</w:t>
      </w:r>
      <w:r>
        <w:rPr>
          <w:rFonts w:ascii="Times New Roman" w:hAnsi="Times New Roman" w:cs="Times New Roman"/>
          <w:color w:val="000000"/>
          <w:sz w:val="27"/>
          <w:szCs w:val="27"/>
        </w:rPr>
        <w:t>рганизовано многокомпонентное, 3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>-х разовое сбалансирован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ное питание детей в группах с 10,5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>-</w:t>
      </w:r>
      <w:proofErr w:type="spellStart"/>
      <w:r w:rsidRPr="00E7191C">
        <w:rPr>
          <w:rFonts w:ascii="Times New Roman" w:hAnsi="Times New Roman" w:cs="Times New Roman"/>
          <w:color w:val="000000"/>
          <w:sz w:val="27"/>
          <w:szCs w:val="27"/>
        </w:rPr>
        <w:t>ти</w:t>
      </w:r>
      <w:proofErr w:type="spellEnd"/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часовым пребыванием детей. Питание детей в МБДОУ</w:t>
      </w:r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 № 22 «Белочка»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рационально сбалансировано, соответствует возрастным нормам. 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детей. Важнейшим условием правильной организации питания детей является строгое соблюдение санитарно-гигиенических требований к пищеблоку, хранению продуктов и процессу приготовления пищи. 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lastRenderedPageBreak/>
        <w:t>психического развития, устойчивости к действию инфекций и других неблагоприятных факторов внешней среды. Кроме того, правильно организованное питания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br/>
        <w:t>В рацион питания ДОУ включены все основные группы продуктов - мясо, рыба, молоко и молочные продукты, яйца, овощи и фрукты, сахар, кондитерские изделия, хлеб, крупы и др.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В детском саду имеется вся необходимая документация по питанию, которая ведется по форме и</w:t>
      </w:r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 заполняется своевременно</w:t>
      </w:r>
      <w:proofErr w:type="gramStart"/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  На пищеблоке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вывешен график выдачи готовой продукции для каждой </w:t>
      </w:r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возрастной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>группы, ежедневно вывешивается меню с перечнем блюд на день и нормой выдачи.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На информационном стенде для родителей  в группах также ежедневно вывешивается меню с перечнем блюд на день и нормой выдачи.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Основой рациональной о</w:t>
      </w:r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рганизации питания детей в </w:t>
      </w:r>
      <w:r w:rsidR="000F599A" w:rsidRPr="000F59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F599A" w:rsidRPr="00E7191C">
        <w:rPr>
          <w:rFonts w:ascii="Times New Roman" w:hAnsi="Times New Roman" w:cs="Times New Roman"/>
          <w:color w:val="000000"/>
          <w:sz w:val="27"/>
          <w:szCs w:val="27"/>
        </w:rPr>
        <w:t>МБДОУ</w:t>
      </w:r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 № 22 «Белочка»</w:t>
      </w:r>
      <w:r w:rsidR="000F599A"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являются «Нормы физиологической потребности в пищевых веществах и энергии», утвержденные Санитарно-эпидемиологическими правилами и нормами </w:t>
      </w:r>
      <w:proofErr w:type="spellStart"/>
      <w:r w:rsidRPr="00E7191C">
        <w:rPr>
          <w:rFonts w:ascii="Times New Roman" w:hAnsi="Times New Roman" w:cs="Times New Roman"/>
          <w:color w:val="000000"/>
          <w:sz w:val="27"/>
          <w:szCs w:val="27"/>
        </w:rPr>
        <w:t>СанПиН</w:t>
      </w:r>
      <w:proofErr w:type="spellEnd"/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2.3/2.4-3590-20 «Санитарно-эпидемиологические требования к организации общественного питания населения,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Основными приемами кулинарной обработки являются отваривание, тушение, </w:t>
      </w:r>
      <w:proofErr w:type="spellStart"/>
      <w:r w:rsidRPr="00E7191C">
        <w:rPr>
          <w:rFonts w:ascii="Times New Roman" w:hAnsi="Times New Roman" w:cs="Times New Roman"/>
          <w:color w:val="000000"/>
          <w:sz w:val="27"/>
          <w:szCs w:val="27"/>
        </w:rPr>
        <w:t>запекание</w:t>
      </w:r>
      <w:proofErr w:type="spellEnd"/>
      <w:r w:rsidRPr="00E7191C">
        <w:rPr>
          <w:rFonts w:ascii="Times New Roman" w:hAnsi="Times New Roman" w:cs="Times New Roman"/>
          <w:color w:val="000000"/>
          <w:sz w:val="27"/>
          <w:szCs w:val="27"/>
        </w:rPr>
        <w:t>, т.е. соблюдаются принципы щадящего питания.</w:t>
      </w:r>
    </w:p>
    <w:p w:rsidR="000F599A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>Для правильного приготовления блюд разработаны технологические карты.</w:t>
      </w:r>
    </w:p>
    <w:p w:rsidR="00E7191C" w:rsidRPr="00E7191C" w:rsidRDefault="00E7191C" w:rsidP="00E7191C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E7191C">
        <w:rPr>
          <w:rFonts w:ascii="Times New Roman" w:hAnsi="Times New Roman" w:cs="Times New Roman"/>
          <w:color w:val="000000"/>
          <w:sz w:val="27"/>
          <w:szCs w:val="27"/>
        </w:rPr>
        <w:t>В которых указаны раскладка, калорийность блюда, содержание в нем белков, жиров, углеводов.</w:t>
      </w:r>
      <w:proofErr w:type="gramEnd"/>
      <w:r w:rsidRPr="00E7191C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Бракераж готовой продукции </w:t>
      </w:r>
      <w:proofErr w:type="gramStart"/>
      <w:r w:rsidRPr="00E7191C">
        <w:rPr>
          <w:rFonts w:ascii="Times New Roman" w:hAnsi="Times New Roman" w:cs="Times New Roman"/>
          <w:color w:val="000000"/>
          <w:sz w:val="27"/>
          <w:szCs w:val="27"/>
        </w:rPr>
        <w:t>проводится</w:t>
      </w:r>
      <w:proofErr w:type="gramEnd"/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регулярно с оценкой вкусовых качеств. В учреждении осуществляется регулярный медицинский </w:t>
      </w:r>
      <w:proofErr w:type="gramStart"/>
      <w:r w:rsidRPr="00E7191C">
        <w:rPr>
          <w:rFonts w:ascii="Times New Roman" w:hAnsi="Times New Roman" w:cs="Times New Roman"/>
          <w:color w:val="000000"/>
          <w:sz w:val="27"/>
          <w:szCs w:val="27"/>
        </w:rPr>
        <w:t>контроль</w:t>
      </w:r>
      <w:r w:rsidR="000F599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за</w:t>
      </w:r>
      <w:proofErr w:type="gramEnd"/>
      <w:r w:rsidRPr="00E7191C">
        <w:rPr>
          <w:rFonts w:ascii="Times New Roman" w:hAnsi="Times New Roman" w:cs="Times New Roman"/>
          <w:color w:val="000000"/>
          <w:sz w:val="27"/>
          <w:szCs w:val="27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Медицинская сестра систематически контролирует закладку продуктов, технологию приготовления и качество пищи, выдачу пищи с пищеблока по группам и объем блюд. 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Питание детей организовано с учётом: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выполнения режима питания;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lastRenderedPageBreak/>
        <w:t>калорийности питания,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ежедневного соблюдения норм потребления продуктов;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витаминизации;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хранения проб (48 часов);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соблюдения питьевого режима;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гигиена приёма пищи;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индивидуальный подход к детям во время питания;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правильность расстановки мебели;</w:t>
      </w:r>
    </w:p>
    <w:p w:rsidR="001F7CA6" w:rsidRPr="001F7CA6" w:rsidRDefault="001F7CA6" w:rsidP="001F7CA6">
      <w:pPr>
        <w:rPr>
          <w:rFonts w:ascii="Times New Roman" w:hAnsi="Times New Roman" w:cs="Times New Roman"/>
          <w:color w:val="2F241D"/>
          <w:sz w:val="28"/>
        </w:rPr>
      </w:pPr>
      <w:r w:rsidRPr="001F7CA6">
        <w:rPr>
          <w:rFonts w:ascii="Times New Roman" w:hAnsi="Times New Roman" w:cs="Times New Roman"/>
          <w:color w:val="2F241D"/>
          <w:sz w:val="28"/>
        </w:rPr>
        <w:t>соблюдение ростовых показателей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Родители систематически информируются по вопросам питания на родительских собраниях. В родительских уголках  и чатах вывешивается ежедневное меню для воспитанников.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Питание воспитанников осуществляется непосредственно в групповых помещениях. Каждая группа оснащена необходимой посудой, столовыми приборами, а также столами и стульями для воспитанников. Раздача готовых блюд осуществляется из пищеблока, согласно графику.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Style w:val="a4"/>
          <w:rFonts w:ascii="Times New Roman" w:hAnsi="Times New Roman" w:cs="Times New Roman"/>
          <w:color w:val="339966"/>
          <w:sz w:val="32"/>
          <w:szCs w:val="27"/>
        </w:rPr>
        <w:t>Организация питьевого режима: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 xml:space="preserve">Питьевой режим в детском саду проводится в соответствии с требованиями </w:t>
      </w:r>
      <w:proofErr w:type="spellStart"/>
      <w:r w:rsidRPr="001F7CA6">
        <w:rPr>
          <w:rFonts w:ascii="Times New Roman" w:hAnsi="Times New Roman" w:cs="Times New Roman"/>
          <w:sz w:val="28"/>
        </w:rPr>
        <w:t>СанПиН</w:t>
      </w:r>
      <w:proofErr w:type="spellEnd"/>
      <w:r w:rsidRPr="001F7CA6">
        <w:rPr>
          <w:rFonts w:ascii="Times New Roman" w:hAnsi="Times New Roman" w:cs="Times New Roman"/>
          <w:sz w:val="28"/>
        </w:rPr>
        <w:t xml:space="preserve"> 2.3/2.4.3590-20 «САНИТАРНО-ЭПИДЕМИОЛОГИЧЕСКИМИ ТРЕБОВАНИЯМИ К ОРГАНИЗАЦИИ ОБЩЕСТВЕННОГО ПИТАНИЯ НАСЕЛЕНИЯ».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 При питьевом ре</w:t>
      </w:r>
      <w:r>
        <w:rPr>
          <w:rFonts w:ascii="Times New Roman" w:hAnsi="Times New Roman" w:cs="Times New Roman"/>
          <w:sz w:val="28"/>
        </w:rPr>
        <w:t xml:space="preserve">жиме используется кипячёная </w:t>
      </w:r>
      <w:r w:rsidRPr="001F7CA6">
        <w:rPr>
          <w:rFonts w:ascii="Times New Roman" w:hAnsi="Times New Roman" w:cs="Times New Roman"/>
          <w:sz w:val="28"/>
        </w:rPr>
        <w:t xml:space="preserve"> вода.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Style w:val="a4"/>
          <w:rFonts w:ascii="Times New Roman" w:hAnsi="Times New Roman" w:cs="Times New Roman"/>
          <w:color w:val="339966"/>
          <w:sz w:val="32"/>
          <w:szCs w:val="27"/>
        </w:rPr>
        <w:t>Охрана здоровья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lastRenderedPageBreak/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</w:t>
      </w:r>
      <w:proofErr w:type="spellStart"/>
      <w:r w:rsidRPr="001F7CA6">
        <w:rPr>
          <w:rFonts w:ascii="Times New Roman" w:hAnsi="Times New Roman" w:cs="Times New Roman"/>
          <w:sz w:val="28"/>
        </w:rPr>
        <w:t>СанПин</w:t>
      </w:r>
      <w:proofErr w:type="spellEnd"/>
      <w:r w:rsidRPr="001F7CA6">
        <w:rPr>
          <w:rFonts w:ascii="Times New Roman" w:hAnsi="Times New Roman" w:cs="Times New Roman"/>
          <w:sz w:val="28"/>
        </w:rPr>
        <w:t>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Для осуществления задач физического воспитания в детском саду оснащен физкультурный зал, во всех возрастных группах оборудованы центры спорта.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Охрана здоровья воспитанников включает в себя проведение санитарно-противоэпидемических и профилактических мероприятий.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Охрана здоровья обучающихся обеспечивается в соответствии с Постановлением Главного государственного санитарного врача Российской Федерации от 28.09.2020 № 28 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1F7CA6">
        <w:rPr>
          <w:rFonts w:ascii="Times New Roman" w:hAnsi="Times New Roman" w:cs="Times New Roman"/>
          <w:sz w:val="28"/>
        </w:rPr>
        <w:t>"и</w:t>
      </w:r>
      <w:proofErr w:type="gramEnd"/>
      <w:r w:rsidRPr="001F7CA6">
        <w:rPr>
          <w:rFonts w:ascii="Times New Roman" w:hAnsi="Times New Roman" w:cs="Times New Roman"/>
          <w:sz w:val="28"/>
        </w:rPr>
        <w:t xml:space="preserve"> регламентируется локальными актами ДОУ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В здании дошкольной образовательной организации имеется медицинский кабинет.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Все   работники образовательной организации обучены навыкам оказания первой помощи.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Для того</w:t>
      </w:r>
      <w:proofErr w:type="gramStart"/>
      <w:r w:rsidRPr="001F7CA6">
        <w:rPr>
          <w:rFonts w:ascii="Times New Roman" w:hAnsi="Times New Roman" w:cs="Times New Roman"/>
          <w:sz w:val="28"/>
        </w:rPr>
        <w:t>,</w:t>
      </w:r>
      <w:proofErr w:type="gramEnd"/>
      <w:r w:rsidRPr="001F7CA6">
        <w:rPr>
          <w:rFonts w:ascii="Times New Roman" w:hAnsi="Times New Roman" w:cs="Times New Roman"/>
          <w:sz w:val="28"/>
        </w:rPr>
        <w:t xml:space="preserve"> чтобы стимулировать физическое развитие детей, в ДОУ создано игровое пространство, как на площадке, так и в помещении.</w:t>
      </w:r>
    </w:p>
    <w:p w:rsidR="001F7CA6" w:rsidRPr="001F7CA6" w:rsidRDefault="001F7CA6" w:rsidP="001F7CA6">
      <w:pPr>
        <w:rPr>
          <w:rFonts w:ascii="Times New Roman" w:hAnsi="Times New Roman" w:cs="Times New Roman"/>
          <w:sz w:val="28"/>
        </w:rPr>
      </w:pPr>
      <w:r w:rsidRPr="001F7CA6">
        <w:rPr>
          <w:rFonts w:ascii="Times New Roman" w:hAnsi="Times New Roman" w:cs="Times New Roman"/>
          <w:sz w:val="28"/>
        </w:rPr>
        <w:t>В ДОУ создана система необходимых условий, обеспечивающих сохранение и укрепление физического и психологического здоровья воспитанников, в том числе и лиц с ОВЗ.</w:t>
      </w:r>
    </w:p>
    <w:p w:rsidR="001F7CA6" w:rsidRDefault="001F7CA6" w:rsidP="001F7CA6">
      <w:r>
        <w:t> </w:t>
      </w:r>
    </w:p>
    <w:p w:rsidR="001F7CA6" w:rsidRDefault="001F7CA6" w:rsidP="001F7CA6">
      <w:pPr>
        <w:shd w:val="clear" w:color="auto" w:fill="339900"/>
        <w:spacing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906905" cy="1430020"/>
            <wp:effectExtent l="19050" t="0" r="0" b="0"/>
            <wp:docPr id="3" name="Рисунок 3" descr="logo">
              <a:hlinkClick xmlns:a="http://schemas.openxmlformats.org/drawingml/2006/main" r:id="rId5" tgtFrame="&quot;_blank&quot;" tooltip="&quot;Цифровая выставка достижений компаний Р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>
                      <a:hlinkClick r:id="rId5" tgtFrame="&quot;_blank&quot;" tooltip="&quot;Цифровая выставка достижений компаний Р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332865"/>
            <wp:effectExtent l="19050" t="0" r="0" b="0"/>
            <wp:docPr id="4" name="Рисунок 4" descr="logo">
              <a:hlinkClick xmlns:a="http://schemas.openxmlformats.org/drawingml/2006/main" r:id="rId7" tgtFrame="&quot;_blank&quot;" tooltip="&quot;Год защитника Отечеств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>
                      <a:hlinkClick r:id="rId7" tgtFrame="&quot;_blank&quot;" tooltip="&quot;Год защитника Отечеств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906905"/>
            <wp:effectExtent l="19050" t="0" r="0" b="0"/>
            <wp:docPr id="5" name="Рисунок 5" descr="logo">
              <a:hlinkClick xmlns:a="http://schemas.openxmlformats.org/drawingml/2006/main" r:id="rId9" tgtFrame="&quot;_blank&quot;" tooltip="&quot;Вестник Киберполиции Росс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>
                      <a:hlinkClick r:id="rId9" tgtFrame="&quot;_blank&quot;" tooltip="&quot;Вестник Киберполиции Росс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031240"/>
            <wp:effectExtent l="19050" t="0" r="0" b="0"/>
            <wp:docPr id="6" name="Рисунок 6" descr="logo">
              <a:hlinkClick xmlns:a="http://schemas.openxmlformats.org/drawingml/2006/main" r:id="rId11" tgtFrame="&quot;_blank&quot;" tooltip="&quot;Детский телефон довер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>
                      <a:hlinkClick r:id="rId11" tgtFrame="&quot;_blank&quot;" tooltip="&quot;Детский телефон довер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2947670"/>
            <wp:effectExtent l="19050" t="0" r="0" b="0"/>
            <wp:docPr id="7" name="Рисунок 7" descr="logo">
              <a:hlinkClick xmlns:a="http://schemas.openxmlformats.org/drawingml/2006/main" r:id="rId13" tgtFrame="&quot;_blank&quot;" tooltip="&quot;QR-код для перехода на ПОС 46 са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>
                      <a:hlinkClick r:id="rId13" tgtFrame="&quot;_blank&quot;" tooltip="&quot;QR-код для перехода на ПОС 46 са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836295"/>
            <wp:effectExtent l="19050" t="0" r="0" b="0"/>
            <wp:docPr id="8" name="Рисунок 8" descr="logo">
              <a:hlinkClick xmlns:a="http://schemas.openxmlformats.org/drawingml/2006/main" r:id="rId15" tgtFrame="&quot;_blank&quot;" tooltip="&quot;Меры поддержки бизнеса в условиях санкци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>
                      <a:hlinkClick r:id="rId15" tgtFrame="&quot;_blank&quot;" tooltip="&quot;Меры поддержки бизнеса в условиях санкци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206500"/>
            <wp:effectExtent l="19050" t="0" r="0" b="0"/>
            <wp:docPr id="9" name="Рисунок 9" descr="logo">
              <a:hlinkClick xmlns:a="http://schemas.openxmlformats.org/drawingml/2006/main" r:id="rId17" tgtFrame="&quot;_blank&quot;" tooltip="&quot;Все для победы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>
                      <a:hlinkClick r:id="rId17" tgtFrame="&quot;_blank&quot;" tooltip="&quot;Все для победы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709930"/>
            <wp:effectExtent l="19050" t="0" r="0" b="0"/>
            <wp:docPr id="10" name="Рисунок 10" descr="logo">
              <a:hlinkClick xmlns:a="http://schemas.openxmlformats.org/drawingml/2006/main" r:id="rId19" tgtFrame="&quot;_blank&quot;" tooltip="&quot;Приложение «Мой налог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>
                      <a:hlinkClick r:id="rId19" tgtFrame="&quot;_blank&quot;" tooltip="&quot;Приложение «Мой налог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906905"/>
            <wp:effectExtent l="19050" t="0" r="0" b="0"/>
            <wp:docPr id="11" name="Рисунок 11" descr="logo">
              <a:hlinkClick xmlns:a="http://schemas.openxmlformats.org/drawingml/2006/main" r:id="rId21" tgtFrame="&quot;_blank&quot;" tooltip="&quot;Всероссийская перепись населения - 202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>
                      <a:hlinkClick r:id="rId21" tgtFrame="&quot;_blank&quot;" tooltip="&quot;Всероссийская перепись населения - 202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593090"/>
            <wp:effectExtent l="19050" t="0" r="0" b="0"/>
            <wp:docPr id="12" name="Рисунок 12" descr="logo">
              <a:hlinkClick xmlns:a="http://schemas.openxmlformats.org/drawingml/2006/main" r:id="rId23" tgtFrame="&quot;_blank&quot;" tooltip="&quot;Коронавирус COVID–1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>
                      <a:hlinkClick r:id="rId23" tgtFrame="&quot;_blank&quot;" tooltip="&quot;Коронавирус COVID–1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729615"/>
            <wp:effectExtent l="19050" t="0" r="0" b="0"/>
            <wp:docPr id="13" name="Рисунок 13" descr="logo">
              <a:hlinkClick xmlns:a="http://schemas.openxmlformats.org/drawingml/2006/main" r:id="rId25" tgtFrame="&quot;_blank&quot;" tooltip="&quot;Закупки Донлен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>
                      <a:hlinkClick r:id="rId25" tgtFrame="&quot;_blank&quot;" tooltip="&quot;Закупки Донлен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148080"/>
            <wp:effectExtent l="19050" t="0" r="0" b="0"/>
            <wp:docPr id="14" name="Рисунок 14" descr="logo">
              <a:hlinkClick xmlns:a="http://schemas.openxmlformats.org/drawingml/2006/main" r:id="rId27" tgtFrame="&quot;_blank&quot;" tooltip="&quot;Ростовская область: меры поддержки бизнеса для преодоления последствий новой коронавирусной инфек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>
                      <a:hlinkClick r:id="rId27" tgtFrame="&quot;_blank&quot;" tooltip="&quot;Ростовская область: меры поддержки бизнеса для преодоления последствий новой коронавирусной инфек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lastRenderedPageBreak/>
        <w:drawing>
          <wp:inline distT="0" distB="0" distL="0" distR="0">
            <wp:extent cx="1906905" cy="1351915"/>
            <wp:effectExtent l="19050" t="0" r="0" b="0"/>
            <wp:docPr id="15" name="Рисунок 15" descr="logo">
              <a:hlinkClick xmlns:a="http://schemas.openxmlformats.org/drawingml/2006/main" r:id="rId13" tgtFrame="&quot;_blank&quot;" tooltip="&quot;350 лет со дня рождения Петра 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>
                      <a:hlinkClick r:id="rId13" tgtFrame="&quot;_blank&quot;" tooltip="&quot;350 лет со дня рождения Петра 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148080"/>
            <wp:effectExtent l="19050" t="0" r="0" b="0"/>
            <wp:docPr id="16" name="Рисунок 16" descr="logo">
              <a:hlinkClick xmlns:a="http://schemas.openxmlformats.org/drawingml/2006/main" r:id="rId30" tgtFrame="&quot;_blank&quot;" tooltip="&quot;План преодоления экономических последствий новой коронавирусной инфекц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>
                      <a:hlinkClick r:id="rId30" tgtFrame="&quot;_blank&quot;" tooltip="&quot;План преодоления экономических последствий новой коронавирусной инфекц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391285"/>
            <wp:effectExtent l="19050" t="0" r="0" b="0"/>
            <wp:docPr id="17" name="Рисунок 17" descr="logo">
              <a:hlinkClick xmlns:a="http://schemas.openxmlformats.org/drawingml/2006/main" r:id="rId32" tgtFrame="&quot;_blank&quot;" tooltip="&quot;75 лет Побед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>
                      <a:hlinkClick r:id="rId32" tgtFrame="&quot;_blank&quot;" tooltip="&quot;75 лет Побед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148080"/>
            <wp:effectExtent l="19050" t="0" r="0" b="0"/>
            <wp:docPr id="18" name="Рисунок 18" descr="logo">
              <a:hlinkClick xmlns:a="http://schemas.openxmlformats.org/drawingml/2006/main" r:id="rId34" tgtFrame="&quot;_blank&quot;" tooltip="&quot;Год памяти и славы 202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>
                      <a:hlinkClick r:id="rId34" tgtFrame="&quot;_blank&quot;" tooltip="&quot;Год памяти и славы 202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1906905" cy="1089660"/>
            <wp:effectExtent l="19050" t="0" r="0" b="0"/>
            <wp:docPr id="19" name="Рисунок 19" descr="logo">
              <a:hlinkClick xmlns:a="http://schemas.openxmlformats.org/drawingml/2006/main" r:id="rId36" tgtFrame="&quot;_blank&quot;" tooltip="&quot;Государственный доклад 201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">
                      <a:hlinkClick r:id="rId36" tgtFrame="&quot;_blank&quot;" tooltip="&quot;Государственный доклад 201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A6" w:rsidRDefault="001F7CA6" w:rsidP="001F7CA6">
      <w:pPr>
        <w:shd w:val="clear" w:color="auto" w:fill="339900"/>
        <w:rPr>
          <w:rFonts w:ascii="Arial" w:hAnsi="Arial" w:cs="Arial"/>
          <w:color w:val="000000"/>
          <w:sz w:val="27"/>
          <w:szCs w:val="27"/>
        </w:rPr>
      </w:pPr>
      <w:hyperlink r:id="rId38" w:history="1">
        <w:r>
          <w:rPr>
            <w:rStyle w:val="button-moretext"/>
            <w:rFonts w:ascii="Arial" w:hAnsi="Arial" w:cs="Arial"/>
            <w:b/>
            <w:bCs/>
            <w:color w:val="339900"/>
            <w:sz w:val="21"/>
            <w:szCs w:val="21"/>
            <w:shd w:val="clear" w:color="auto" w:fill="FFFFFF"/>
          </w:rPr>
          <w:t>Посмотреть все</w:t>
        </w:r>
      </w:hyperlink>
    </w:p>
    <w:p w:rsidR="001F7CA6" w:rsidRDefault="001F7CA6" w:rsidP="001F7CA6">
      <w:pPr>
        <w:pStyle w:val="3"/>
        <w:shd w:val="clear" w:color="auto" w:fill="339900"/>
        <w:spacing w:before="0"/>
        <w:jc w:val="center"/>
        <w:rPr>
          <w:rFonts w:ascii="Arial" w:hAnsi="Arial" w:cs="Arial"/>
          <w:b w:val="0"/>
          <w:bCs w:val="0"/>
          <w:color w:val="FFFFFF"/>
          <w:sz w:val="54"/>
          <w:szCs w:val="54"/>
        </w:rPr>
      </w:pPr>
      <w:r>
        <w:rPr>
          <w:rFonts w:ascii="Arial" w:hAnsi="Arial" w:cs="Arial"/>
          <w:b w:val="0"/>
          <w:bCs w:val="0"/>
          <w:color w:val="FFFFFF"/>
          <w:sz w:val="54"/>
          <w:szCs w:val="54"/>
        </w:rPr>
        <w:t xml:space="preserve">Контактная </w:t>
      </w:r>
      <w:proofErr w:type="spellStart"/>
      <w:r>
        <w:rPr>
          <w:rFonts w:ascii="Arial" w:hAnsi="Arial" w:cs="Arial"/>
          <w:b w:val="0"/>
          <w:bCs w:val="0"/>
          <w:color w:val="FFFFFF"/>
          <w:sz w:val="54"/>
          <w:szCs w:val="54"/>
        </w:rPr>
        <w:t>инф</w:t>
      </w:r>
      <w:proofErr w:type="spellEnd"/>
    </w:p>
    <w:p w:rsidR="00963E7B" w:rsidRPr="00E7191C" w:rsidRDefault="00963E7B" w:rsidP="00E7191C">
      <w:pPr>
        <w:rPr>
          <w:rFonts w:ascii="Times New Roman" w:hAnsi="Times New Roman" w:cs="Times New Roman"/>
        </w:rPr>
      </w:pPr>
    </w:p>
    <w:sectPr w:rsidR="00963E7B" w:rsidRPr="00E7191C" w:rsidSect="0096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CF1"/>
    <w:multiLevelType w:val="multilevel"/>
    <w:tmpl w:val="DC4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95D57"/>
    <w:multiLevelType w:val="multilevel"/>
    <w:tmpl w:val="5AC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B13BC"/>
    <w:multiLevelType w:val="multilevel"/>
    <w:tmpl w:val="9B3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C3C62"/>
    <w:multiLevelType w:val="multilevel"/>
    <w:tmpl w:val="740E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7172F"/>
    <w:multiLevelType w:val="multilevel"/>
    <w:tmpl w:val="4A5E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83700"/>
    <w:multiLevelType w:val="multilevel"/>
    <w:tmpl w:val="58BE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B2397"/>
    <w:rsid w:val="000F599A"/>
    <w:rsid w:val="001F7CA6"/>
    <w:rsid w:val="004E4B3A"/>
    <w:rsid w:val="006176E5"/>
    <w:rsid w:val="00963E7B"/>
    <w:rsid w:val="00AB4695"/>
    <w:rsid w:val="00E7191C"/>
    <w:rsid w:val="00EB2397"/>
    <w:rsid w:val="00F4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7B"/>
  </w:style>
  <w:style w:type="paragraph" w:styleId="2">
    <w:name w:val="heading 2"/>
    <w:basedOn w:val="a"/>
    <w:link w:val="20"/>
    <w:uiPriority w:val="9"/>
    <w:qFormat/>
    <w:rsid w:val="00EB2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9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2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Название объекта1"/>
    <w:basedOn w:val="a0"/>
    <w:rsid w:val="00EB2397"/>
  </w:style>
  <w:style w:type="character" w:styleId="a3">
    <w:name w:val="Hyperlink"/>
    <w:basedOn w:val="a0"/>
    <w:uiPriority w:val="99"/>
    <w:semiHidden/>
    <w:unhideWhenUsed/>
    <w:rsid w:val="00EB2397"/>
    <w:rPr>
      <w:color w:val="0000FF"/>
      <w:u w:val="single"/>
    </w:rPr>
  </w:style>
  <w:style w:type="character" w:styleId="a4">
    <w:name w:val="Strong"/>
    <w:basedOn w:val="a0"/>
    <w:uiPriority w:val="22"/>
    <w:qFormat/>
    <w:rsid w:val="00AB4695"/>
    <w:rPr>
      <w:b/>
      <w:bCs/>
    </w:rPr>
  </w:style>
  <w:style w:type="character" w:customStyle="1" w:styleId="vkekvd">
    <w:name w:val="vkekvd"/>
    <w:basedOn w:val="a0"/>
    <w:rsid w:val="00AB4695"/>
  </w:style>
  <w:style w:type="character" w:customStyle="1" w:styleId="t286pc">
    <w:name w:val="t286pc"/>
    <w:basedOn w:val="a0"/>
    <w:rsid w:val="00AB4695"/>
  </w:style>
  <w:style w:type="paragraph" w:styleId="a5">
    <w:name w:val="Normal (Web)"/>
    <w:basedOn w:val="a"/>
    <w:uiPriority w:val="99"/>
    <w:unhideWhenUsed/>
    <w:rsid w:val="00AB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1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readcrumbsseparate">
    <w:name w:val="breadcrumbs__separate"/>
    <w:basedOn w:val="a0"/>
    <w:rsid w:val="00E7191C"/>
  </w:style>
  <w:style w:type="paragraph" w:customStyle="1" w:styleId="breadcrumbstext">
    <w:name w:val="breadcrumbs__text"/>
    <w:basedOn w:val="a"/>
    <w:rsid w:val="00E7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f-2text">
    <w:name w:val="bf-2__text"/>
    <w:basedOn w:val="a0"/>
    <w:rsid w:val="001F7CA6"/>
  </w:style>
  <w:style w:type="character" w:customStyle="1" w:styleId="button-moretext">
    <w:name w:val="button-more__text"/>
    <w:basedOn w:val="a0"/>
    <w:rsid w:val="001F7CA6"/>
  </w:style>
  <w:style w:type="paragraph" w:styleId="a6">
    <w:name w:val="Balloon Text"/>
    <w:basedOn w:val="a"/>
    <w:link w:val="a7"/>
    <w:uiPriority w:val="99"/>
    <w:semiHidden/>
    <w:unhideWhenUsed/>
    <w:rsid w:val="001F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046">
          <w:marLeft w:val="0"/>
          <w:marRight w:val="0"/>
          <w:marTop w:val="919"/>
          <w:marBottom w:val="6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1990">
              <w:marLeft w:val="230"/>
              <w:marRight w:val="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872662">
              <w:marLeft w:val="0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5445">
                      <w:marLeft w:val="0"/>
                      <w:marRight w:val="0"/>
                      <w:marTop w:val="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7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70975">
                                          <w:marLeft w:val="0"/>
                                          <w:marRight w:val="0"/>
                                          <w:marTop w:val="0"/>
                                          <w:marBottom w:val="2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15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89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31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2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675026">
                  <w:marLeft w:val="0"/>
                  <w:marRight w:val="0"/>
                  <w:marTop w:val="766"/>
                  <w:marBottom w:val="7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DD2D6"/>
            <w:right w:val="none" w:sz="0" w:space="0" w:color="auto"/>
          </w:divBdr>
          <w:divsChild>
            <w:div w:id="323556434">
              <w:marLeft w:val="0"/>
              <w:marRight w:val="0"/>
              <w:marTop w:val="1067"/>
              <w:marBottom w:val="10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5217">
              <w:marLeft w:val="0"/>
              <w:marRight w:val="0"/>
              <w:marTop w:val="1067"/>
              <w:marBottom w:val="10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DD2D6"/>
            <w:right w:val="none" w:sz="0" w:space="0" w:color="auto"/>
          </w:divBdr>
          <w:divsChild>
            <w:div w:id="315913444">
              <w:marLeft w:val="0"/>
              <w:marRight w:val="0"/>
              <w:marTop w:val="1067"/>
              <w:marBottom w:val="10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381">
              <w:marLeft w:val="0"/>
              <w:marRight w:val="0"/>
              <w:marTop w:val="1067"/>
              <w:marBottom w:val="10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333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057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824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302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ad46.virtualtaganrog.ru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trana2020.ru/" TargetMode="External"/><Relationship Id="rId34" Type="http://schemas.openxmlformats.org/officeDocument/2006/relationships/hyperlink" Target="https://&#1075;&#1086;&#1076;2020.&#1088;&#1092;/" TargetMode="External"/><Relationship Id="rId7" Type="http://schemas.openxmlformats.org/officeDocument/2006/relationships/hyperlink" Target="http://sad46.virtualtaganrog.ru/god-zawitnika-otechestva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pobeda.onf.ru/requirements/rostovskaya" TargetMode="External"/><Relationship Id="rId25" Type="http://schemas.openxmlformats.org/officeDocument/2006/relationships/hyperlink" Target="http://zakaz.donland.ru/" TargetMode="External"/><Relationship Id="rId33" Type="http://schemas.openxmlformats.org/officeDocument/2006/relationships/image" Target="media/image15.jpeg"/><Relationship Id="rId38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elefon-doveria.ru/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www.may9.ru/" TargetMode="External"/><Relationship Id="rId37" Type="http://schemas.openxmlformats.org/officeDocument/2006/relationships/image" Target="media/image17.jpeg"/><Relationship Id="rId40" Type="http://schemas.openxmlformats.org/officeDocument/2006/relationships/theme" Target="theme/theme1.xml"/><Relationship Id="rId5" Type="http://schemas.openxmlformats.org/officeDocument/2006/relationships/hyperlink" Target="https://rostovexpo.visitdon.ru/" TargetMode="External"/><Relationship Id="rId15" Type="http://schemas.openxmlformats.org/officeDocument/2006/relationships/hyperlink" Target="https://mineconomikiro.donland.ru/documents/active/131170/" TargetMode="External"/><Relationship Id="rId23" Type="http://schemas.openxmlformats.org/officeDocument/2006/relationships/hyperlink" Target="https://&#1089;&#1090;&#1086;&#1087;&#1082;&#1086;&#1088;&#1086;&#1085;&#1072;&#1074;&#1080;&#1088;&#1091;&#1089;.&#1088;&#1092;/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s://rosmintrud.ru/docs/1361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npd.nalog.ru/app/" TargetMode="External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hyperlink" Target="https://t.me/cyberpolice_ru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ad46.virtualtaganrog.ru/files/BANNERS/general/mery-podderzhki-biznesa/mery_podderzhki_biznesa.pdf" TargetMode="External"/><Relationship Id="rId30" Type="http://schemas.openxmlformats.org/officeDocument/2006/relationships/hyperlink" Target="http://sad46.virtualtaganrog.ru/files/BANNERS/general/plan-preodoleniya/plan_preodoleniya.pdf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2025-10-09T08:02:00Z</dcterms:created>
  <dcterms:modified xsi:type="dcterms:W3CDTF">2025-10-09T09:22:00Z</dcterms:modified>
</cp:coreProperties>
</file>